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hd w:val="clear" w:color="auto" w:fill="FFFFFF"/>
        <w:wordWrap w:val="0"/>
        <w:spacing w:before="0" w:beforeAutospacing="0" w:after="0" w:afterAutospacing="0" w:line="585" w:lineRule="atLeast"/>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w:t>
      </w:r>
    </w:p>
    <w:p>
      <w:pPr>
        <w:pStyle w:val="5"/>
        <w:shd w:val="clear" w:color="auto" w:fill="FFFFFF"/>
        <w:wordWrap w:val="0"/>
        <w:spacing w:before="0" w:beforeAutospacing="0" w:after="0" w:afterAutospacing="0" w:line="700" w:lineRule="exact"/>
        <w:jc w:val="center"/>
        <w:rPr>
          <w:rFonts w:ascii="Times New Roman" w:hAnsi="Times New Roman" w:eastAsia="方正小标宋_GBK" w:cs="Times New Roman"/>
          <w:b/>
          <w:sz w:val="44"/>
          <w:szCs w:val="44"/>
        </w:rPr>
      </w:pPr>
    </w:p>
    <w:p>
      <w:pPr>
        <w:pStyle w:val="5"/>
        <w:shd w:val="clear" w:color="auto" w:fill="FFFFFF"/>
        <w:wordWrap w:val="0"/>
        <w:spacing w:before="0" w:beforeAutospacing="0" w:after="0" w:afterAutospacing="0" w:line="700" w:lineRule="exac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苏州市港口外客运船舶停靠站点管理办法</w:t>
      </w:r>
    </w:p>
    <w:p>
      <w:pPr>
        <w:pStyle w:val="5"/>
        <w:shd w:val="clear" w:color="auto" w:fill="FFFFFF"/>
        <w:wordWrap w:val="0"/>
        <w:spacing w:before="0" w:beforeAutospacing="0" w:after="0" w:afterAutospacing="0" w:line="700" w:lineRule="exact"/>
        <w:jc w:val="center"/>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rPr>
        <w:t>（试行）</w:t>
      </w: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lang w:val="en-US" w:eastAsia="zh-CN"/>
        </w:rPr>
        <w:t>征</w:t>
      </w:r>
      <w:bookmarkStart w:id="2" w:name="_GoBack"/>
      <w:bookmarkEnd w:id="2"/>
      <w:r>
        <w:rPr>
          <w:rFonts w:hint="eastAsia" w:ascii="方正小标宋简体" w:hAnsi="方正小标宋简体" w:eastAsia="方正小标宋简体" w:cs="方正小标宋简体"/>
          <w:b w:val="0"/>
          <w:bCs/>
          <w:sz w:val="44"/>
          <w:szCs w:val="44"/>
          <w:lang w:val="en-US" w:eastAsia="zh-CN"/>
        </w:rPr>
        <w:t>求意见稿</w:t>
      </w:r>
      <w:r>
        <w:rPr>
          <w:rFonts w:hint="eastAsia" w:ascii="方正小标宋简体" w:hAnsi="方正小标宋简体" w:eastAsia="方正小标宋简体" w:cs="方正小标宋简体"/>
          <w:b w:val="0"/>
          <w:bCs/>
          <w:sz w:val="44"/>
          <w:szCs w:val="44"/>
          <w:lang w:eastAsia="zh-CN"/>
        </w:rPr>
        <w:t>）</w:t>
      </w:r>
    </w:p>
    <w:p>
      <w:pPr>
        <w:pStyle w:val="5"/>
        <w:shd w:val="clear" w:color="auto" w:fill="FFFFFF"/>
        <w:wordWrap w:val="0"/>
        <w:spacing w:before="0" w:beforeAutospacing="0" w:after="0" w:afterAutospacing="0" w:line="585" w:lineRule="atLeast"/>
        <w:jc w:val="center"/>
        <w:rPr>
          <w:rFonts w:ascii="Times New Roman" w:hAnsi="Times New Roman" w:eastAsia="仿宋_GB2312" w:cs="Times New Roman"/>
          <w:sz w:val="32"/>
          <w:szCs w:val="32"/>
        </w:rPr>
      </w:pPr>
    </w:p>
    <w:p>
      <w:pPr>
        <w:shd w:val="clear" w:color="auto" w:fill="FFFFFF"/>
        <w:snapToGrid w:val="0"/>
        <w:spacing w:line="590" w:lineRule="exact"/>
        <w:ind w:firstLine="640" w:firstLineChars="200"/>
        <w:rPr>
          <w:rFonts w:ascii="Times New Roman" w:hAnsi="Times New Roman" w:eastAsia="仿宋_GB2312" w:cs="Times New Roman"/>
          <w:kern w:val="0"/>
          <w:sz w:val="32"/>
          <w:szCs w:val="32"/>
        </w:rPr>
      </w:pPr>
      <w:r>
        <w:rPr>
          <w:rFonts w:ascii="Times New Roman" w:hAnsi="Times New Roman" w:eastAsia="黑体" w:cs="Times New Roman"/>
          <w:sz w:val="32"/>
          <w:szCs w:val="32"/>
        </w:rPr>
        <w:t xml:space="preserve">第一条 </w:t>
      </w:r>
      <w:r>
        <w:rPr>
          <w:rFonts w:ascii="Times New Roman" w:hAnsi="Times New Roman" w:eastAsia="仿宋_GB2312" w:cs="Times New Roman"/>
          <w:sz w:val="32"/>
          <w:szCs w:val="32"/>
        </w:rPr>
        <w:t>为扎实推进平安交通建设，规范本市港口规划范围外客运船舶停靠站点（以下简称停靠站点）管理，维护水路运输市场秩序，保障水路客运安全，依据</w:t>
      </w:r>
      <w:r>
        <w:rPr>
          <w:rFonts w:ascii="Times New Roman" w:hAnsi="Times New Roman" w:eastAsia="仿宋_GB2312" w:cs="Times New Roman"/>
          <w:kern w:val="0"/>
          <w:sz w:val="32"/>
          <w:szCs w:val="32"/>
        </w:rPr>
        <w:t>《中华人民共和国安全生产法》《中华人民共和国内河交通安全管理条例》《江苏省内河水上游览经营活动安全管理办法》等</w:t>
      </w:r>
      <w:r>
        <w:rPr>
          <w:rFonts w:ascii="Times New Roman" w:hAnsi="Times New Roman" w:eastAsia="仿宋_GB2312" w:cs="Times New Roman"/>
          <w:sz w:val="32"/>
          <w:szCs w:val="32"/>
        </w:rPr>
        <w:t>法律、法规、规章</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制定本办法。    </w:t>
      </w:r>
    </w:p>
    <w:p>
      <w:pPr>
        <w:widowControl/>
        <w:shd w:val="clear" w:color="auto" w:fill="FFFFFF"/>
        <w:snapToGrid w:val="0"/>
        <w:spacing w:line="59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第二条</w:t>
      </w:r>
      <w:r>
        <w:rPr>
          <w:rFonts w:ascii="Times New Roman" w:hAnsi="Times New Roman" w:eastAsia="仿宋_GB2312" w:cs="Times New Roman"/>
          <w:kern w:val="0"/>
          <w:sz w:val="32"/>
          <w:szCs w:val="32"/>
        </w:rPr>
        <w:t xml:space="preserve"> 在本市行政区域内，苏州港总体规划和苏州内河港总体规划范围外，从事客运</w:t>
      </w:r>
      <w:r>
        <w:rPr>
          <w:rFonts w:ascii="Times New Roman" w:hAnsi="Times New Roman" w:eastAsia="仿宋_GB2312" w:cs="Times New Roman"/>
          <w:sz w:val="32"/>
          <w:szCs w:val="32"/>
        </w:rPr>
        <w:t>船舶停靠站点的选址建设、运营管理、安全监管及其相关活动，适用本办法。</w:t>
      </w:r>
    </w:p>
    <w:p>
      <w:pPr>
        <w:pStyle w:val="5"/>
        <w:shd w:val="clear" w:color="auto" w:fill="FFFFFF"/>
        <w:snapToGrid w:val="0"/>
        <w:spacing w:before="0" w:beforeAutospacing="0" w:after="0" w:afterAutospacing="0" w:line="590" w:lineRule="exact"/>
        <w:ind w:firstLine="645"/>
        <w:jc w:val="both"/>
        <w:rPr>
          <w:rFonts w:ascii="Times New Roman" w:hAnsi="Times New Roman" w:eastAsia="仿宋_GB2312" w:cs="Times New Roman"/>
          <w:sz w:val="32"/>
          <w:szCs w:val="32"/>
        </w:rPr>
      </w:pPr>
      <w:r>
        <w:rPr>
          <w:rFonts w:ascii="Times New Roman" w:hAnsi="Times New Roman" w:eastAsia="黑体" w:cs="Times New Roman"/>
          <w:sz w:val="32"/>
          <w:szCs w:val="32"/>
        </w:rPr>
        <w:t xml:space="preserve">第三条 </w:t>
      </w:r>
      <w:r>
        <w:rPr>
          <w:rFonts w:ascii="Times New Roman" w:hAnsi="Times New Roman" w:eastAsia="仿宋_GB2312" w:cs="Times New Roman"/>
          <w:sz w:val="32"/>
          <w:szCs w:val="32"/>
        </w:rPr>
        <w:t>本办法所称停靠站点是指由一定的水域及相关陆域（水工建筑物、接岸设施等）组成，具有相应的固定式或浮动式设施，用于客运船舶进出停靠、人员上下的站点。</w:t>
      </w:r>
    </w:p>
    <w:p>
      <w:pPr>
        <w:pStyle w:val="5"/>
        <w:shd w:val="clear" w:color="auto" w:fill="FFFFFF"/>
        <w:snapToGrid w:val="0"/>
        <w:spacing w:before="0" w:beforeAutospacing="0" w:after="0" w:afterAutospacing="0" w:line="590" w:lineRule="exact"/>
        <w:ind w:firstLine="645"/>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本办法所称客运船舶是指具有水路旅客运输经营资质的企业所拥有并由交通运输主管部门核发《船舶营业运输证》的各类客船。</w:t>
      </w:r>
    </w:p>
    <w:p>
      <w:pPr>
        <w:pStyle w:val="5"/>
        <w:shd w:val="clear" w:color="auto" w:fill="FFFFFF"/>
        <w:snapToGrid w:val="0"/>
        <w:spacing w:before="0" w:beforeAutospacing="0" w:after="0" w:afterAutospacing="0" w:line="590" w:lineRule="exact"/>
        <w:ind w:firstLine="645"/>
        <w:jc w:val="both"/>
        <w:rPr>
          <w:rFonts w:ascii="Times New Roman" w:hAnsi="Times New Roman" w:eastAsia="仿宋_GB2312" w:cs="Times New Roman"/>
          <w:sz w:val="32"/>
          <w:szCs w:val="32"/>
        </w:rPr>
      </w:pPr>
      <w:r>
        <w:rPr>
          <w:rFonts w:ascii="Times New Roman" w:hAnsi="Times New Roman" w:eastAsia="黑体" w:cs="Times New Roman"/>
          <w:sz w:val="32"/>
          <w:szCs w:val="32"/>
        </w:rPr>
        <w:t xml:space="preserve">第四条 </w:t>
      </w:r>
      <w:r>
        <w:rPr>
          <w:rFonts w:ascii="Times New Roman" w:hAnsi="Times New Roman" w:eastAsia="仿宋_GB2312" w:cs="Times New Roman"/>
          <w:sz w:val="32"/>
          <w:szCs w:val="32"/>
        </w:rPr>
        <w:t>市交通运输主管部门负责指导全市停靠站点的管理工作。各市（区）交通运输主管部门具体承担本行政区域内停靠站点的管理工作。</w:t>
      </w:r>
    </w:p>
    <w:p>
      <w:pPr>
        <w:pStyle w:val="5"/>
        <w:shd w:val="clear" w:color="auto" w:fill="FFFFFF"/>
        <w:snapToGrid w:val="0"/>
        <w:spacing w:before="0" w:beforeAutospacing="0" w:after="0" w:afterAutospacing="0" w:line="590" w:lineRule="exact"/>
        <w:ind w:firstLine="645"/>
        <w:jc w:val="both"/>
        <w:rPr>
          <w:rFonts w:ascii="Times New Roman" w:hAnsi="Times New Roman" w:eastAsia="仿宋_GB2312" w:cs="Times New Roman"/>
          <w:sz w:val="32"/>
          <w:szCs w:val="32"/>
        </w:rPr>
      </w:pPr>
      <w:r>
        <w:rPr>
          <w:rFonts w:ascii="Times New Roman" w:hAnsi="Times New Roman" w:eastAsia="黑体" w:cs="Times New Roman"/>
          <w:sz w:val="32"/>
          <w:szCs w:val="32"/>
        </w:rPr>
        <w:t xml:space="preserve">第五条 </w:t>
      </w:r>
      <w:r>
        <w:rPr>
          <w:rFonts w:ascii="Times New Roman" w:hAnsi="Times New Roman" w:eastAsia="仿宋_GB2312" w:cs="Times New Roman"/>
          <w:sz w:val="32"/>
          <w:szCs w:val="32"/>
        </w:rPr>
        <w:t>停靠站点选址应当符合地区国土空间规划，结合旅游资源、交通状况、生态环境保护等综合确定，做到分布合理，选址科学，总量控制。</w:t>
      </w:r>
    </w:p>
    <w:p>
      <w:pPr>
        <w:pStyle w:val="5"/>
        <w:shd w:val="clear" w:color="auto" w:fill="FFFFFF"/>
        <w:snapToGrid w:val="0"/>
        <w:spacing w:before="0" w:beforeAutospacing="0" w:after="0" w:afterAutospacing="0" w:line="590" w:lineRule="exact"/>
        <w:ind w:firstLine="645"/>
        <w:jc w:val="both"/>
        <w:rPr>
          <w:rFonts w:ascii="Times New Roman" w:hAnsi="Times New Roman" w:eastAsia="仿宋_GB2312" w:cs="Times New Roman"/>
          <w:sz w:val="32"/>
          <w:szCs w:val="32"/>
        </w:rPr>
      </w:pPr>
      <w:r>
        <w:rPr>
          <w:rFonts w:ascii="Times New Roman" w:hAnsi="Times New Roman" w:eastAsia="黑体" w:cs="Times New Roman"/>
          <w:sz w:val="32"/>
          <w:szCs w:val="32"/>
        </w:rPr>
        <w:t>第六条</w:t>
      </w:r>
      <w:r>
        <w:rPr>
          <w:rFonts w:ascii="Times New Roman" w:hAnsi="Times New Roman" w:eastAsia="仿宋_GB2312" w:cs="Times New Roman"/>
          <w:sz w:val="32"/>
          <w:szCs w:val="32"/>
        </w:rPr>
        <w:t xml:space="preserve"> 停靠站点宜选在水流平缓、水深足够、坡岸稳定、视野开阔、适宜船舶停靠的地点，远离危险物品生产、堆放场所,并应具备船舶安全运营条件的非碍航水域。</w:t>
      </w:r>
    </w:p>
    <w:p>
      <w:pPr>
        <w:pStyle w:val="5"/>
        <w:shd w:val="clear" w:color="auto" w:fill="FFFFFF"/>
        <w:snapToGrid w:val="0"/>
        <w:spacing w:before="0" w:beforeAutospacing="0" w:after="0" w:afterAutospacing="0" w:line="590" w:lineRule="exact"/>
        <w:ind w:firstLine="645"/>
        <w:jc w:val="both"/>
        <w:rPr>
          <w:rFonts w:ascii="Times New Roman" w:hAnsi="Times New Roman" w:eastAsia="仿宋_GB2312" w:cs="Times New Roman"/>
        </w:rPr>
      </w:pPr>
      <w:r>
        <w:rPr>
          <w:rFonts w:ascii="Times New Roman" w:hAnsi="Times New Roman" w:eastAsia="黑体" w:cs="Times New Roman"/>
          <w:sz w:val="32"/>
          <w:szCs w:val="32"/>
        </w:rPr>
        <w:t xml:space="preserve">第七条 </w:t>
      </w:r>
      <w:r>
        <w:rPr>
          <w:rFonts w:ascii="Times New Roman" w:hAnsi="Times New Roman" w:eastAsia="仿宋_GB2312" w:cs="Times New Roman"/>
          <w:sz w:val="32"/>
          <w:szCs w:val="32"/>
        </w:rPr>
        <w:t>建设单位应当就拟新建、改建、扩建停靠站点的选址向各市（区）交通运输主管部门提出书面申请。申请材料应当包括建设单位基本概况，拟选址位置、周边情况，拟建停靠站点的规模、用途、结构型式、费用估算、运营模式、管理措施等必要信息。</w:t>
      </w:r>
    </w:p>
    <w:p>
      <w:pPr>
        <w:pStyle w:val="5"/>
        <w:shd w:val="clear" w:color="auto" w:fill="FFFFFF"/>
        <w:snapToGrid w:val="0"/>
        <w:spacing w:before="0" w:beforeAutospacing="0" w:after="0" w:afterAutospacing="0" w:line="590" w:lineRule="exact"/>
        <w:ind w:firstLine="645"/>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各市（区）交通主管运输主管部门在收到申请后，应当书面征求文广旅、水务、生态环境、城市管理、农业农村、自然资源和规划等相关部门和属地政府的意见，并报告市交通运输主管部门。</w:t>
      </w:r>
    </w:p>
    <w:p>
      <w:pPr>
        <w:widowControl/>
        <w:snapToGrid w:val="0"/>
        <w:spacing w:line="590" w:lineRule="exact"/>
        <w:ind w:firstLine="640" w:firstLineChars="200"/>
        <w:rPr>
          <w:rFonts w:ascii="Times New Roman" w:hAnsi="Times New Roman" w:eastAsia="仿宋_GB2312" w:cs="Times New Roman"/>
          <w:kern w:val="0"/>
          <w:sz w:val="32"/>
          <w:szCs w:val="32"/>
        </w:rPr>
      </w:pPr>
      <w:r>
        <w:rPr>
          <w:rFonts w:ascii="Times New Roman" w:hAnsi="Times New Roman" w:eastAsia="黑体" w:cs="Times New Roman"/>
          <w:sz w:val="32"/>
          <w:szCs w:val="32"/>
        </w:rPr>
        <w:t xml:space="preserve">第八条 </w:t>
      </w:r>
      <w:r>
        <w:rPr>
          <w:rFonts w:ascii="Times New Roman" w:hAnsi="Times New Roman" w:eastAsia="仿宋_GB2312" w:cs="Times New Roman"/>
          <w:kern w:val="0"/>
          <w:sz w:val="32"/>
          <w:szCs w:val="32"/>
        </w:rPr>
        <w:t>新建、改建、扩建停靠站点应当符合国家规定的基本建设程序，其建设内容和标准应当符合国家有关要求。</w:t>
      </w:r>
    </w:p>
    <w:p>
      <w:pPr>
        <w:widowControl/>
        <w:snapToGrid w:val="0"/>
        <w:spacing w:line="590" w:lineRule="exact"/>
        <w:ind w:firstLine="640" w:firstLineChars="200"/>
        <w:rPr>
          <w:rFonts w:ascii="Times New Roman" w:hAnsi="Times New Roman" w:eastAsia="仿宋_GB2312" w:cs="Times New Roman"/>
          <w:kern w:val="0"/>
          <w:sz w:val="32"/>
          <w:szCs w:val="32"/>
        </w:rPr>
      </w:pPr>
      <w:r>
        <w:rPr>
          <w:rFonts w:ascii="Times New Roman" w:hAnsi="Times New Roman" w:eastAsia="黑体" w:cs="Times New Roman"/>
          <w:sz w:val="32"/>
          <w:szCs w:val="32"/>
        </w:rPr>
        <w:t>第九条</w:t>
      </w:r>
      <w:r>
        <w:rPr>
          <w:rFonts w:ascii="Times New Roman" w:hAnsi="Times New Roman" w:eastAsia="仿宋_GB2312" w:cs="Times New Roman"/>
          <w:kern w:val="0"/>
          <w:sz w:val="32"/>
          <w:szCs w:val="32"/>
        </w:rPr>
        <w:t xml:space="preserve"> 新建、改建、扩建停靠站点应当委托具备相应资质的单位编制建设方案，建设方案应达到施工图设计深度要求，并征求航道、海事机构意见，报</w:t>
      </w:r>
      <w:r>
        <w:rPr>
          <w:rFonts w:ascii="Times New Roman" w:hAnsi="Times New Roman" w:eastAsia="仿宋_GB2312" w:cs="Times New Roman"/>
          <w:sz w:val="32"/>
          <w:szCs w:val="32"/>
        </w:rPr>
        <w:t>各市（区）交通运输主管部门负责审核</w:t>
      </w:r>
      <w:r>
        <w:rPr>
          <w:rFonts w:ascii="Times New Roman" w:hAnsi="Times New Roman" w:eastAsia="仿宋_GB2312" w:cs="Times New Roman"/>
          <w:kern w:val="0"/>
          <w:sz w:val="32"/>
          <w:szCs w:val="32"/>
        </w:rPr>
        <w:t>。</w:t>
      </w:r>
    </w:p>
    <w:p>
      <w:pPr>
        <w:snapToGrid w:val="0"/>
        <w:spacing w:line="59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 xml:space="preserve">第十条 </w:t>
      </w:r>
      <w:r>
        <w:rPr>
          <w:rFonts w:ascii="Times New Roman" w:hAnsi="Times New Roman" w:eastAsia="仿宋_GB2312" w:cs="Times New Roman"/>
          <w:sz w:val="32"/>
          <w:szCs w:val="32"/>
        </w:rPr>
        <w:t>停靠站点建设规模及工艺设计应根据客运量、客流特性、船型、航线、航班、水位变化情况等综合确定，充分满足客运船舶停靠安全要求，浮趸应当符合国家有关设计规范和技术标准。</w:t>
      </w:r>
    </w:p>
    <w:p>
      <w:pPr>
        <w:snapToGrid w:val="0"/>
        <w:spacing w:line="59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第十一条</w:t>
      </w:r>
      <w:r>
        <w:rPr>
          <w:rFonts w:ascii="Times New Roman" w:hAnsi="Times New Roman" w:eastAsia="仿宋_GB2312" w:cs="Times New Roman"/>
          <w:sz w:val="32"/>
          <w:szCs w:val="32"/>
        </w:rPr>
        <w:t xml:space="preserve"> 停靠站点应当按照国家有关规定配备有效的安全、消防、救生、环保等设施设备，保持安全、便捷、良好的候船条件和环境。客运量较大且具有相应陆域条件的停靠站点应建有乘客候船设施。</w:t>
      </w:r>
    </w:p>
    <w:p>
      <w:pPr>
        <w:snapToGrid w:val="0"/>
        <w:spacing w:line="59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 xml:space="preserve">第十二条 </w:t>
      </w:r>
      <w:r>
        <w:rPr>
          <w:rFonts w:ascii="Times New Roman" w:hAnsi="Times New Roman" w:eastAsia="仿宋_GB2312" w:cs="Times New Roman"/>
          <w:sz w:val="32"/>
          <w:szCs w:val="32"/>
        </w:rPr>
        <w:t>夜间运营的停靠站点，应当设置照明设施，满足船舶靠离泊、人员上下船和其他相关作业的安全要求。</w:t>
      </w:r>
    </w:p>
    <w:p>
      <w:pPr>
        <w:snapToGrid w:val="0"/>
        <w:spacing w:line="59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 xml:space="preserve">第十三条 </w:t>
      </w:r>
      <w:r>
        <w:rPr>
          <w:rFonts w:ascii="Times New Roman" w:hAnsi="Times New Roman" w:eastAsia="仿宋_GB2312" w:cs="Times New Roman"/>
          <w:sz w:val="32"/>
          <w:szCs w:val="32"/>
        </w:rPr>
        <w:t>停靠站点应当按照相关技术标准建设视频监控系统，并将数据信息接入交通运输应急指挥中心或综合行政执法机构。</w:t>
      </w:r>
    </w:p>
    <w:p>
      <w:pPr>
        <w:snapToGrid w:val="0"/>
        <w:spacing w:line="59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 xml:space="preserve">第十四条 </w:t>
      </w:r>
      <w:r>
        <w:rPr>
          <w:rFonts w:ascii="Times New Roman" w:hAnsi="Times New Roman" w:eastAsia="仿宋_GB2312" w:cs="Times New Roman"/>
          <w:sz w:val="32"/>
          <w:szCs w:val="32"/>
        </w:rPr>
        <w:t>停靠站点项目建设完成后，建设单位应当根据有关规定组织验收，经验收合格后方可投入使用。</w:t>
      </w:r>
    </w:p>
    <w:p>
      <w:pPr>
        <w:shd w:val="clear" w:color="auto" w:fill="FFFFFF"/>
        <w:snapToGrid w:val="0"/>
        <w:spacing w:line="59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黑体" w:cs="Times New Roman"/>
          <w:sz w:val="32"/>
          <w:szCs w:val="32"/>
        </w:rPr>
        <w:t xml:space="preserve">第十五条 </w:t>
      </w:r>
      <w:r>
        <w:rPr>
          <w:rFonts w:ascii="Times New Roman" w:hAnsi="Times New Roman" w:eastAsia="仿宋_GB2312" w:cs="Times New Roman"/>
          <w:sz w:val="32"/>
          <w:szCs w:val="32"/>
        </w:rPr>
        <w:t>建设单位应在项目验收合格后15日内，将项目验收材料报所在地市（区）交通运输主管部门。</w:t>
      </w:r>
    </w:p>
    <w:p>
      <w:pPr>
        <w:shd w:val="clear" w:color="auto" w:fill="FFFFFF"/>
        <w:snapToGrid w:val="0"/>
        <w:spacing w:line="59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黑体" w:cs="Times New Roman"/>
          <w:sz w:val="32"/>
          <w:szCs w:val="32"/>
        </w:rPr>
        <w:t xml:space="preserve">第十六条 </w:t>
      </w:r>
      <w:r>
        <w:rPr>
          <w:rFonts w:ascii="Times New Roman" w:hAnsi="Times New Roman" w:eastAsia="仿宋_GB2312" w:cs="Times New Roman"/>
          <w:sz w:val="32"/>
          <w:szCs w:val="32"/>
        </w:rPr>
        <w:t>本办法实施前已建成的停靠站点使用人应当委托相关单位对现有设施的主体结构安全性、配套设施适用性等方面进行综合评估并出具报告，核定停靠站点靠泊能力。停靠站点使用人或所有人应当将停靠站点检测评估资料向所在地市（区）交通运输主管部门报告，各市（区）交通运输主管部门应当将评估情况书面告知文广旅等相关部门。</w:t>
      </w:r>
    </w:p>
    <w:p>
      <w:pPr>
        <w:shd w:val="clear" w:color="auto" w:fill="FFFFFF"/>
        <w:snapToGrid w:val="0"/>
        <w:spacing w:line="590" w:lineRule="exact"/>
        <w:ind w:firstLine="640" w:firstLineChars="200"/>
        <w:textAlignment w:val="baseline"/>
        <w:rPr>
          <w:rFonts w:ascii="Times New Roman" w:hAnsi="Times New Roman" w:eastAsia="仿宋_GB2312" w:cs="Times New Roman"/>
          <w:sz w:val="32"/>
          <w:szCs w:val="32"/>
        </w:rPr>
      </w:pPr>
      <w:r>
        <w:rPr>
          <w:rFonts w:ascii="Times New Roman" w:hAnsi="Times New Roman" w:eastAsia="仿宋_GB2312" w:cs="Times New Roman"/>
          <w:kern w:val="0"/>
          <w:sz w:val="32"/>
          <w:szCs w:val="32"/>
        </w:rPr>
        <w:t>经综合评估认定有必要对原有设施进行大规模改造、加固的，其建设程序参照新建、改建、扩建停靠站点执行。</w:t>
      </w:r>
    </w:p>
    <w:p>
      <w:pPr>
        <w:snapToGrid w:val="0"/>
        <w:spacing w:line="59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第十七条</w:t>
      </w:r>
      <w:r>
        <w:rPr>
          <w:rFonts w:ascii="Times New Roman" w:hAnsi="Times New Roman" w:eastAsia="仿宋_GB2312" w:cs="Times New Roman"/>
          <w:sz w:val="32"/>
          <w:szCs w:val="32"/>
        </w:rPr>
        <w:t xml:space="preserve"> 停靠站点使用人应当在停靠站点向社会公示站点名称、使用人名称、服务投诉电话、应急救援电话等内容。</w:t>
      </w:r>
    </w:p>
    <w:p>
      <w:pPr>
        <w:pStyle w:val="5"/>
        <w:shd w:val="clear" w:color="auto" w:fill="FFFFFF"/>
        <w:snapToGrid w:val="0"/>
        <w:spacing w:before="0" w:beforeAutospacing="0" w:after="0" w:afterAutospacing="0" w:line="590" w:lineRule="exact"/>
        <w:ind w:firstLine="645"/>
        <w:jc w:val="both"/>
        <w:rPr>
          <w:rFonts w:ascii="Times New Roman" w:hAnsi="Times New Roman" w:eastAsia="仿宋_GB2312" w:cs="Times New Roman"/>
          <w:sz w:val="32"/>
          <w:szCs w:val="32"/>
        </w:rPr>
      </w:pPr>
      <w:r>
        <w:rPr>
          <w:rFonts w:ascii="Times New Roman" w:hAnsi="Times New Roman" w:eastAsia="黑体" w:cs="Times New Roman"/>
          <w:sz w:val="32"/>
          <w:szCs w:val="32"/>
        </w:rPr>
        <w:t xml:space="preserve">第十八条 </w:t>
      </w:r>
      <w:r>
        <w:rPr>
          <w:rFonts w:ascii="Times New Roman" w:hAnsi="Times New Roman" w:eastAsia="仿宋_GB2312" w:cs="Times New Roman"/>
          <w:kern w:val="2"/>
          <w:sz w:val="32"/>
          <w:szCs w:val="32"/>
        </w:rPr>
        <w:t>停靠站</w:t>
      </w:r>
      <w:r>
        <w:rPr>
          <w:rFonts w:ascii="Times New Roman" w:hAnsi="Times New Roman" w:eastAsia="仿宋_GB2312" w:cs="Times New Roman"/>
          <w:sz w:val="32"/>
          <w:szCs w:val="32"/>
        </w:rPr>
        <w:t>点使用人应当落实安全生产主体责任，在停靠站点配备专职安全管理人员，并建立健全安全生产管理制度和突发事件应急预案，定期开展应急演练。</w:t>
      </w:r>
    </w:p>
    <w:p>
      <w:pPr>
        <w:pStyle w:val="5"/>
        <w:shd w:val="clear" w:color="auto" w:fill="FFFFFF"/>
        <w:snapToGrid w:val="0"/>
        <w:spacing w:before="0" w:beforeAutospacing="0" w:after="0" w:afterAutospacing="0" w:line="590" w:lineRule="exact"/>
        <w:ind w:firstLine="645"/>
        <w:jc w:val="both"/>
        <w:rPr>
          <w:rFonts w:ascii="Times New Roman" w:hAnsi="Times New Roman" w:eastAsia="仿宋_GB2312" w:cs="Times New Roman"/>
          <w:sz w:val="32"/>
          <w:szCs w:val="32"/>
        </w:rPr>
      </w:pPr>
      <w:r>
        <w:rPr>
          <w:rFonts w:ascii="Times New Roman" w:hAnsi="Times New Roman" w:eastAsia="黑体" w:cs="Times New Roman"/>
          <w:sz w:val="32"/>
          <w:szCs w:val="32"/>
        </w:rPr>
        <w:t xml:space="preserve">第十九条 </w:t>
      </w:r>
      <w:r>
        <w:rPr>
          <w:rFonts w:ascii="Times New Roman" w:hAnsi="Times New Roman" w:eastAsia="仿宋_GB2312" w:cs="Times New Roman"/>
          <w:sz w:val="32"/>
          <w:szCs w:val="32"/>
        </w:rPr>
        <w:t>停靠站点如需停靠非本单位客运船舶，停靠站点使用人应当与客运船舶经营人签订船舶靠泊安全管理协议，建立人员上下船安全检查制度，明确双方职责和义务。</w:t>
      </w:r>
    </w:p>
    <w:p>
      <w:pPr>
        <w:pStyle w:val="5"/>
        <w:shd w:val="clear" w:color="auto" w:fill="FFFFFF"/>
        <w:snapToGrid w:val="0"/>
        <w:spacing w:before="0" w:beforeAutospacing="0" w:after="0" w:afterAutospacing="0" w:line="590" w:lineRule="exact"/>
        <w:ind w:firstLine="645"/>
        <w:jc w:val="both"/>
        <w:rPr>
          <w:rFonts w:ascii="Times New Roman" w:hAnsi="Times New Roman" w:eastAsia="仿宋_GB2312" w:cs="Times New Roman"/>
          <w:kern w:val="2"/>
          <w:sz w:val="32"/>
          <w:szCs w:val="32"/>
        </w:rPr>
      </w:pPr>
      <w:r>
        <w:rPr>
          <w:rFonts w:ascii="Times New Roman" w:hAnsi="Times New Roman" w:eastAsia="黑体" w:cs="Times New Roman"/>
          <w:sz w:val="32"/>
          <w:szCs w:val="32"/>
        </w:rPr>
        <w:t xml:space="preserve">第二十条 </w:t>
      </w:r>
      <w:r>
        <w:rPr>
          <w:rFonts w:ascii="Times New Roman" w:hAnsi="Times New Roman" w:eastAsia="仿宋_GB2312" w:cs="Times New Roman"/>
          <w:kern w:val="2"/>
          <w:sz w:val="32"/>
          <w:szCs w:val="32"/>
        </w:rPr>
        <w:t>停靠站点</w:t>
      </w:r>
      <w:r>
        <w:rPr>
          <w:rFonts w:ascii="Times New Roman" w:hAnsi="Times New Roman" w:eastAsia="仿宋_GB2312" w:cs="Times New Roman"/>
          <w:sz w:val="32"/>
          <w:szCs w:val="32"/>
        </w:rPr>
        <w:t>使用人</w:t>
      </w:r>
      <w:r>
        <w:rPr>
          <w:rFonts w:ascii="Times New Roman" w:hAnsi="Times New Roman" w:eastAsia="仿宋_GB2312" w:cs="Times New Roman"/>
          <w:kern w:val="2"/>
          <w:sz w:val="32"/>
          <w:szCs w:val="32"/>
        </w:rPr>
        <w:t>应当定期开展基础设施维护工作，确保停靠站点基础设施安全稳定运行。</w:t>
      </w:r>
    </w:p>
    <w:p>
      <w:pPr>
        <w:pStyle w:val="5"/>
        <w:shd w:val="clear" w:color="auto" w:fill="FFFFFF"/>
        <w:snapToGrid w:val="0"/>
        <w:spacing w:before="0" w:beforeAutospacing="0" w:after="0" w:afterAutospacing="0" w:line="590" w:lineRule="exact"/>
        <w:ind w:firstLine="645"/>
        <w:jc w:val="both"/>
        <w:rPr>
          <w:rFonts w:ascii="Times New Roman" w:hAnsi="Times New Roman" w:eastAsia="仿宋_GB2312" w:cs="Times New Roman"/>
          <w:kern w:val="2"/>
          <w:sz w:val="32"/>
          <w:szCs w:val="32"/>
        </w:rPr>
      </w:pPr>
      <w:r>
        <w:rPr>
          <w:rFonts w:ascii="Times New Roman" w:hAnsi="Times New Roman" w:eastAsia="黑体" w:cs="Times New Roman"/>
          <w:sz w:val="32"/>
          <w:szCs w:val="32"/>
        </w:rPr>
        <w:t xml:space="preserve">第二十一条 </w:t>
      </w:r>
      <w:r>
        <w:rPr>
          <w:rFonts w:ascii="Times New Roman" w:hAnsi="Times New Roman" w:eastAsia="仿宋_GB2312" w:cs="Times New Roman"/>
          <w:kern w:val="2"/>
          <w:sz w:val="32"/>
          <w:szCs w:val="32"/>
        </w:rPr>
        <w:t>交通运输综合行政执法机构应当对停靠站点定期开展现场核查，督促停靠站点使用人履行企业安全生产主体责任，保障水路运输安全。</w:t>
      </w:r>
    </w:p>
    <w:p>
      <w:pPr>
        <w:pStyle w:val="5"/>
        <w:shd w:val="clear" w:color="auto" w:fill="FFFFFF"/>
        <w:snapToGrid w:val="0"/>
        <w:spacing w:before="0" w:beforeAutospacing="0" w:after="0" w:afterAutospacing="0" w:line="590" w:lineRule="exact"/>
        <w:ind w:firstLine="645"/>
        <w:jc w:val="both"/>
        <w:rPr>
          <w:rFonts w:ascii="Times New Roman" w:hAnsi="Times New Roman" w:eastAsia="仿宋_GB2312" w:cs="Times New Roman"/>
          <w:kern w:val="2"/>
          <w:sz w:val="32"/>
          <w:szCs w:val="32"/>
        </w:rPr>
      </w:pPr>
      <w:r>
        <w:rPr>
          <w:rFonts w:ascii="Times New Roman" w:hAnsi="Times New Roman" w:eastAsia="黑体" w:cs="Times New Roman"/>
          <w:sz w:val="32"/>
          <w:szCs w:val="32"/>
        </w:rPr>
        <w:t xml:space="preserve">第二十二条 </w:t>
      </w:r>
      <w:r>
        <w:rPr>
          <w:rFonts w:ascii="Times New Roman" w:hAnsi="Times New Roman" w:eastAsia="仿宋_GB2312" w:cs="Times New Roman"/>
          <w:kern w:val="2"/>
          <w:sz w:val="32"/>
          <w:szCs w:val="32"/>
        </w:rPr>
        <w:t>停靠站点使用人应当按照设计功能使用停靠站点及附属设施设备，并禁止下列活动：</w:t>
      </w:r>
    </w:p>
    <w:p>
      <w:pPr>
        <w:pStyle w:val="5"/>
        <w:shd w:val="clear" w:color="auto" w:fill="FFFFFF"/>
        <w:snapToGrid w:val="0"/>
        <w:spacing w:before="0" w:beforeAutospacing="0" w:after="0" w:afterAutospacing="0" w:line="590" w:lineRule="exact"/>
        <w:ind w:firstLine="645"/>
        <w:jc w:val="both"/>
        <w:textAlignment w:val="baseline"/>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（一）为不具备合法手续的船舶和非旅游、客运、观光的船舶提供靠泊服务；</w:t>
      </w:r>
    </w:p>
    <w:p>
      <w:pPr>
        <w:pStyle w:val="5"/>
        <w:shd w:val="clear" w:color="auto" w:fill="FFFFFF"/>
        <w:snapToGrid w:val="0"/>
        <w:spacing w:before="0" w:beforeAutospacing="0" w:after="0" w:afterAutospacing="0" w:line="590" w:lineRule="exact"/>
        <w:ind w:firstLine="645"/>
        <w:jc w:val="both"/>
        <w:textAlignment w:val="baseline"/>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（二）客运船舶超载运输乘客；</w:t>
      </w:r>
    </w:p>
    <w:p>
      <w:pPr>
        <w:pStyle w:val="5"/>
        <w:shd w:val="clear" w:color="auto" w:fill="FFFFFF"/>
        <w:snapToGrid w:val="0"/>
        <w:spacing w:before="0" w:beforeAutospacing="0" w:after="0" w:afterAutospacing="0" w:line="590" w:lineRule="exact"/>
        <w:ind w:firstLine="645"/>
        <w:jc w:val="both"/>
        <w:textAlignment w:val="baseline"/>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（三）超出停靠站点靠泊能力靠泊船舶；</w:t>
      </w:r>
    </w:p>
    <w:p>
      <w:pPr>
        <w:pStyle w:val="5"/>
        <w:shd w:val="clear" w:color="auto" w:fill="FFFFFF"/>
        <w:snapToGrid w:val="0"/>
        <w:spacing w:before="0" w:beforeAutospacing="0" w:after="0" w:afterAutospacing="0" w:line="590" w:lineRule="exact"/>
        <w:ind w:firstLine="645"/>
        <w:textAlignment w:val="baseline"/>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（四）在恶劣天气或不具备夜航条件下允许船舶冒险开航;</w:t>
      </w:r>
    </w:p>
    <w:p>
      <w:pPr>
        <w:pStyle w:val="5"/>
        <w:shd w:val="clear" w:color="auto" w:fill="FFFFFF"/>
        <w:snapToGrid w:val="0"/>
        <w:spacing w:before="0" w:beforeAutospacing="0" w:after="0" w:afterAutospacing="0" w:line="590" w:lineRule="exact"/>
        <w:ind w:firstLine="645"/>
        <w:jc w:val="both"/>
        <w:textAlignment w:val="baseline"/>
        <w:rPr>
          <w:rFonts w:ascii="Times New Roman" w:hAnsi="Times New Roman" w:eastAsia="仿宋_GB2312" w:cs="Times New Roman"/>
          <w:kern w:val="2"/>
          <w:sz w:val="32"/>
          <w:szCs w:val="32"/>
        </w:rPr>
      </w:pPr>
      <w:r>
        <w:rPr>
          <w:rFonts w:ascii="Times New Roman" w:hAnsi="Times New Roman" w:eastAsia="仿宋_GB2312" w:cs="Times New Roman"/>
          <w:kern w:val="2"/>
          <w:sz w:val="32"/>
          <w:szCs w:val="32"/>
        </w:rPr>
        <w:t>（五）其他危及停靠站点运营和设施安全的行为。</w:t>
      </w:r>
    </w:p>
    <w:p>
      <w:pPr>
        <w:pStyle w:val="5"/>
        <w:shd w:val="clear" w:color="auto" w:fill="FFFFFF"/>
        <w:snapToGrid w:val="0"/>
        <w:spacing w:before="0" w:beforeAutospacing="0" w:after="0" w:afterAutospacing="0" w:line="590" w:lineRule="exact"/>
        <w:ind w:firstLine="645"/>
        <w:jc w:val="both"/>
        <w:rPr>
          <w:rFonts w:ascii="Times New Roman" w:hAnsi="Times New Roman" w:eastAsia="仿宋_GB2312" w:cs="Times New Roman"/>
          <w:kern w:val="2"/>
          <w:sz w:val="32"/>
          <w:szCs w:val="32"/>
        </w:rPr>
      </w:pPr>
      <w:r>
        <w:rPr>
          <w:rFonts w:ascii="Times New Roman" w:hAnsi="Times New Roman" w:eastAsia="黑体" w:cs="Times New Roman"/>
          <w:sz w:val="32"/>
          <w:szCs w:val="32"/>
        </w:rPr>
        <w:t>第二十三条</w:t>
      </w:r>
      <w:r>
        <w:rPr>
          <w:rFonts w:ascii="Times New Roman" w:hAnsi="Times New Roman" w:eastAsia="仿宋_GB2312" w:cs="Times New Roman"/>
          <w:kern w:val="2"/>
          <w:sz w:val="32"/>
          <w:szCs w:val="32"/>
        </w:rPr>
        <w:t xml:space="preserve"> 对未依照本办法履行相关建设程序或不具备安全条件的停靠站点，不得投入使用，由各市（区）交通运输主管部门督促相关企业限期整改。</w:t>
      </w:r>
    </w:p>
    <w:p>
      <w:pPr>
        <w:pStyle w:val="5"/>
        <w:shd w:val="clear" w:color="auto" w:fill="FFFFFF"/>
        <w:snapToGrid w:val="0"/>
        <w:spacing w:before="0" w:beforeAutospacing="0" w:after="0" w:afterAutospacing="0" w:line="590" w:lineRule="exact"/>
        <w:ind w:firstLine="645"/>
        <w:jc w:val="both"/>
        <w:rPr>
          <w:rFonts w:ascii="Times New Roman" w:hAnsi="Times New Roman" w:cs="Times New Roman"/>
        </w:rPr>
      </w:pPr>
      <w:bookmarkStart w:id="0" w:name="OLE_LINK6"/>
      <w:bookmarkStart w:id="1" w:name="OLE_LINK5"/>
      <w:r>
        <w:rPr>
          <w:rFonts w:ascii="Times New Roman" w:hAnsi="Times New Roman" w:eastAsia="黑体" w:cs="Times New Roman"/>
          <w:sz w:val="32"/>
          <w:szCs w:val="32"/>
        </w:rPr>
        <w:t>第二十四条</w:t>
      </w:r>
      <w:bookmarkEnd w:id="0"/>
      <w:bookmarkEnd w:id="1"/>
      <w:r>
        <w:rPr>
          <w:rFonts w:ascii="Times New Roman" w:hAnsi="Times New Roman" w:eastAsia="黑体" w:cs="Times New Roman"/>
          <w:sz w:val="32"/>
          <w:szCs w:val="32"/>
        </w:rPr>
        <w:t xml:space="preserve"> </w:t>
      </w:r>
      <w:r>
        <w:rPr>
          <w:rFonts w:ascii="Times New Roman" w:hAnsi="Times New Roman" w:eastAsia="仿宋_GB2312" w:cs="Times New Roman"/>
          <w:sz w:val="32"/>
          <w:szCs w:val="32"/>
          <w:shd w:val="clear" w:color="auto" w:fill="FFFFFF"/>
        </w:rPr>
        <w:t>本办法自2025年5月 日起施行，有效期两年。</w:t>
      </w: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1329"/>
    </w:sdtPr>
    <w:sdtContent>
      <w:p>
        <w:pPr>
          <w:pStyle w:val="3"/>
          <w:jc w:val="center"/>
        </w:pPr>
        <w:r>
          <w:fldChar w:fldCharType="begin"/>
        </w:r>
        <w:r>
          <w:instrText xml:space="preserve"> PAGE   \* MERGEFORMAT </w:instrText>
        </w:r>
        <w:r>
          <w:fldChar w:fldCharType="separate"/>
        </w:r>
        <w:r>
          <w:rPr>
            <w:lang w:val="zh-CN"/>
          </w:rPr>
          <w:t>4</w:t>
        </w:r>
        <w:r>
          <w:rPr>
            <w:lang w:val="zh-CN"/>
          </w:rP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ZlYzE3OWI3N2RjOTQwYTdiMTA4NjlhNTg1Nzk5MGUifQ=="/>
  </w:docVars>
  <w:rsids>
    <w:rsidRoot w:val="005825BC"/>
    <w:rsid w:val="00005F3A"/>
    <w:rsid w:val="0001411D"/>
    <w:rsid w:val="00015270"/>
    <w:rsid w:val="00022F3F"/>
    <w:rsid w:val="0003600C"/>
    <w:rsid w:val="00036778"/>
    <w:rsid w:val="00040FCA"/>
    <w:rsid w:val="000560B2"/>
    <w:rsid w:val="00060BA0"/>
    <w:rsid w:val="00063421"/>
    <w:rsid w:val="000722EA"/>
    <w:rsid w:val="0007735B"/>
    <w:rsid w:val="00080D15"/>
    <w:rsid w:val="00083A4B"/>
    <w:rsid w:val="00090DDC"/>
    <w:rsid w:val="00097793"/>
    <w:rsid w:val="000A7CE7"/>
    <w:rsid w:val="000B18C7"/>
    <w:rsid w:val="000B769A"/>
    <w:rsid w:val="000E31DC"/>
    <w:rsid w:val="000E3FA7"/>
    <w:rsid w:val="000F17D3"/>
    <w:rsid w:val="000F3EF5"/>
    <w:rsid w:val="000F4ABA"/>
    <w:rsid w:val="001212E2"/>
    <w:rsid w:val="001265CF"/>
    <w:rsid w:val="001269C0"/>
    <w:rsid w:val="00134EC9"/>
    <w:rsid w:val="00143A29"/>
    <w:rsid w:val="00160D23"/>
    <w:rsid w:val="00161BB8"/>
    <w:rsid w:val="00173930"/>
    <w:rsid w:val="001757CA"/>
    <w:rsid w:val="00177FAF"/>
    <w:rsid w:val="001824AD"/>
    <w:rsid w:val="001915FE"/>
    <w:rsid w:val="00191795"/>
    <w:rsid w:val="00192138"/>
    <w:rsid w:val="001A0920"/>
    <w:rsid w:val="001A1A53"/>
    <w:rsid w:val="001B0B6A"/>
    <w:rsid w:val="001C35AC"/>
    <w:rsid w:val="001C4C82"/>
    <w:rsid w:val="001C4E50"/>
    <w:rsid w:val="001F352C"/>
    <w:rsid w:val="001F5C67"/>
    <w:rsid w:val="0020237A"/>
    <w:rsid w:val="002030DD"/>
    <w:rsid w:val="00203A4F"/>
    <w:rsid w:val="00214B4A"/>
    <w:rsid w:val="00226360"/>
    <w:rsid w:val="00230D64"/>
    <w:rsid w:val="00234B3B"/>
    <w:rsid w:val="002412F6"/>
    <w:rsid w:val="00244E36"/>
    <w:rsid w:val="002454FB"/>
    <w:rsid w:val="00245D08"/>
    <w:rsid w:val="00245E77"/>
    <w:rsid w:val="00266F30"/>
    <w:rsid w:val="0027752A"/>
    <w:rsid w:val="002B7F7E"/>
    <w:rsid w:val="002C0A9E"/>
    <w:rsid w:val="002C2637"/>
    <w:rsid w:val="002C2D0A"/>
    <w:rsid w:val="002C7140"/>
    <w:rsid w:val="002D6127"/>
    <w:rsid w:val="002E4F5A"/>
    <w:rsid w:val="002F4512"/>
    <w:rsid w:val="00315082"/>
    <w:rsid w:val="003160B1"/>
    <w:rsid w:val="00322A2D"/>
    <w:rsid w:val="00326D37"/>
    <w:rsid w:val="00333CF4"/>
    <w:rsid w:val="00357C52"/>
    <w:rsid w:val="00364BA4"/>
    <w:rsid w:val="00373596"/>
    <w:rsid w:val="003756EC"/>
    <w:rsid w:val="003A0C76"/>
    <w:rsid w:val="003A145C"/>
    <w:rsid w:val="003A3912"/>
    <w:rsid w:val="003A566E"/>
    <w:rsid w:val="003B3DDA"/>
    <w:rsid w:val="003C03E6"/>
    <w:rsid w:val="003C0A29"/>
    <w:rsid w:val="003C0EF1"/>
    <w:rsid w:val="003C7BE1"/>
    <w:rsid w:val="003F0324"/>
    <w:rsid w:val="003F3E94"/>
    <w:rsid w:val="00406555"/>
    <w:rsid w:val="004238CE"/>
    <w:rsid w:val="00455CFC"/>
    <w:rsid w:val="004737DA"/>
    <w:rsid w:val="00474493"/>
    <w:rsid w:val="00474BB7"/>
    <w:rsid w:val="00486BE7"/>
    <w:rsid w:val="00490BCD"/>
    <w:rsid w:val="00493BD4"/>
    <w:rsid w:val="00494ACC"/>
    <w:rsid w:val="004A03F9"/>
    <w:rsid w:val="004A1E3D"/>
    <w:rsid w:val="004B0520"/>
    <w:rsid w:val="004C6289"/>
    <w:rsid w:val="004D13B2"/>
    <w:rsid w:val="0054456E"/>
    <w:rsid w:val="00546D73"/>
    <w:rsid w:val="005825BC"/>
    <w:rsid w:val="00582E41"/>
    <w:rsid w:val="005877D1"/>
    <w:rsid w:val="00592AD2"/>
    <w:rsid w:val="005A6015"/>
    <w:rsid w:val="005B44C4"/>
    <w:rsid w:val="005C3CFA"/>
    <w:rsid w:val="005C5C26"/>
    <w:rsid w:val="005E0C96"/>
    <w:rsid w:val="005E47FF"/>
    <w:rsid w:val="005E73D5"/>
    <w:rsid w:val="005F5AB5"/>
    <w:rsid w:val="00622E6F"/>
    <w:rsid w:val="00632643"/>
    <w:rsid w:val="00634120"/>
    <w:rsid w:val="0063620C"/>
    <w:rsid w:val="00636380"/>
    <w:rsid w:val="00641076"/>
    <w:rsid w:val="0064363E"/>
    <w:rsid w:val="00646F7B"/>
    <w:rsid w:val="00660EAA"/>
    <w:rsid w:val="00665168"/>
    <w:rsid w:val="006A0AED"/>
    <w:rsid w:val="006A7184"/>
    <w:rsid w:val="006D50BE"/>
    <w:rsid w:val="006D7C94"/>
    <w:rsid w:val="007004C3"/>
    <w:rsid w:val="007038A1"/>
    <w:rsid w:val="00705C14"/>
    <w:rsid w:val="0071347F"/>
    <w:rsid w:val="007235B3"/>
    <w:rsid w:val="007353A7"/>
    <w:rsid w:val="0074780F"/>
    <w:rsid w:val="00751BB8"/>
    <w:rsid w:val="00751E66"/>
    <w:rsid w:val="00766AAD"/>
    <w:rsid w:val="007737A9"/>
    <w:rsid w:val="00776B20"/>
    <w:rsid w:val="00782C97"/>
    <w:rsid w:val="00784E43"/>
    <w:rsid w:val="007A5405"/>
    <w:rsid w:val="007B0B44"/>
    <w:rsid w:val="007B32B6"/>
    <w:rsid w:val="007B4FD7"/>
    <w:rsid w:val="007E32EF"/>
    <w:rsid w:val="007E69E4"/>
    <w:rsid w:val="007F29FF"/>
    <w:rsid w:val="007F3C28"/>
    <w:rsid w:val="007F7C65"/>
    <w:rsid w:val="00803545"/>
    <w:rsid w:val="0080746F"/>
    <w:rsid w:val="008129AA"/>
    <w:rsid w:val="0081624F"/>
    <w:rsid w:val="00820498"/>
    <w:rsid w:val="0082758F"/>
    <w:rsid w:val="00834952"/>
    <w:rsid w:val="00836DBF"/>
    <w:rsid w:val="008423A8"/>
    <w:rsid w:val="008574B5"/>
    <w:rsid w:val="0085753F"/>
    <w:rsid w:val="008700ED"/>
    <w:rsid w:val="008920E1"/>
    <w:rsid w:val="008A7C82"/>
    <w:rsid w:val="008B199C"/>
    <w:rsid w:val="008D1757"/>
    <w:rsid w:val="008E1E68"/>
    <w:rsid w:val="008E3DD9"/>
    <w:rsid w:val="008E6637"/>
    <w:rsid w:val="008F09D9"/>
    <w:rsid w:val="009276BF"/>
    <w:rsid w:val="00936E76"/>
    <w:rsid w:val="00937E96"/>
    <w:rsid w:val="00940160"/>
    <w:rsid w:val="00941121"/>
    <w:rsid w:val="0095761E"/>
    <w:rsid w:val="0096552B"/>
    <w:rsid w:val="00965D1F"/>
    <w:rsid w:val="009679D6"/>
    <w:rsid w:val="00986D47"/>
    <w:rsid w:val="00990788"/>
    <w:rsid w:val="00997F02"/>
    <w:rsid w:val="009A234D"/>
    <w:rsid w:val="009A24B4"/>
    <w:rsid w:val="009A3A3C"/>
    <w:rsid w:val="009A3C37"/>
    <w:rsid w:val="009B2BE9"/>
    <w:rsid w:val="009D605D"/>
    <w:rsid w:val="009E1117"/>
    <w:rsid w:val="009E6F14"/>
    <w:rsid w:val="009F6108"/>
    <w:rsid w:val="009F7011"/>
    <w:rsid w:val="00A11930"/>
    <w:rsid w:val="00A269F2"/>
    <w:rsid w:val="00A30E0D"/>
    <w:rsid w:val="00A32222"/>
    <w:rsid w:val="00A35571"/>
    <w:rsid w:val="00A61A5C"/>
    <w:rsid w:val="00A84C41"/>
    <w:rsid w:val="00A91196"/>
    <w:rsid w:val="00A926EB"/>
    <w:rsid w:val="00AA298A"/>
    <w:rsid w:val="00AA2B9C"/>
    <w:rsid w:val="00AB638A"/>
    <w:rsid w:val="00AD67EC"/>
    <w:rsid w:val="00AF39B8"/>
    <w:rsid w:val="00B04E7E"/>
    <w:rsid w:val="00B12222"/>
    <w:rsid w:val="00B1677C"/>
    <w:rsid w:val="00B173C4"/>
    <w:rsid w:val="00B22457"/>
    <w:rsid w:val="00B23D1C"/>
    <w:rsid w:val="00B265C7"/>
    <w:rsid w:val="00B35943"/>
    <w:rsid w:val="00B429D3"/>
    <w:rsid w:val="00B52620"/>
    <w:rsid w:val="00B6368F"/>
    <w:rsid w:val="00B66F6E"/>
    <w:rsid w:val="00B6722B"/>
    <w:rsid w:val="00B817A1"/>
    <w:rsid w:val="00B85D78"/>
    <w:rsid w:val="00B87EAF"/>
    <w:rsid w:val="00B914AE"/>
    <w:rsid w:val="00B931CE"/>
    <w:rsid w:val="00B949D8"/>
    <w:rsid w:val="00B967AB"/>
    <w:rsid w:val="00B9780E"/>
    <w:rsid w:val="00BA3624"/>
    <w:rsid w:val="00BB0EC4"/>
    <w:rsid w:val="00BF23AE"/>
    <w:rsid w:val="00BF5881"/>
    <w:rsid w:val="00C372B1"/>
    <w:rsid w:val="00C43933"/>
    <w:rsid w:val="00C46B25"/>
    <w:rsid w:val="00C557E5"/>
    <w:rsid w:val="00C65404"/>
    <w:rsid w:val="00C664D5"/>
    <w:rsid w:val="00C7745F"/>
    <w:rsid w:val="00C97A85"/>
    <w:rsid w:val="00CA7C2E"/>
    <w:rsid w:val="00CC3F56"/>
    <w:rsid w:val="00CD06BE"/>
    <w:rsid w:val="00CF5058"/>
    <w:rsid w:val="00CF7376"/>
    <w:rsid w:val="00D148F5"/>
    <w:rsid w:val="00D16659"/>
    <w:rsid w:val="00D255C0"/>
    <w:rsid w:val="00D369DE"/>
    <w:rsid w:val="00D479F1"/>
    <w:rsid w:val="00D47B7A"/>
    <w:rsid w:val="00D83DB9"/>
    <w:rsid w:val="00D90CBB"/>
    <w:rsid w:val="00D92BF4"/>
    <w:rsid w:val="00D9462D"/>
    <w:rsid w:val="00D97AC9"/>
    <w:rsid w:val="00DA739A"/>
    <w:rsid w:val="00DD283E"/>
    <w:rsid w:val="00E21A1B"/>
    <w:rsid w:val="00E23338"/>
    <w:rsid w:val="00E43CFC"/>
    <w:rsid w:val="00E64C29"/>
    <w:rsid w:val="00E67AD6"/>
    <w:rsid w:val="00E73738"/>
    <w:rsid w:val="00E8139B"/>
    <w:rsid w:val="00E82031"/>
    <w:rsid w:val="00EB2911"/>
    <w:rsid w:val="00EC0A81"/>
    <w:rsid w:val="00EC2564"/>
    <w:rsid w:val="00ED4484"/>
    <w:rsid w:val="00EE61DB"/>
    <w:rsid w:val="00EE7FE8"/>
    <w:rsid w:val="00EF7081"/>
    <w:rsid w:val="00F06821"/>
    <w:rsid w:val="00F3317F"/>
    <w:rsid w:val="00F42B35"/>
    <w:rsid w:val="00F446EF"/>
    <w:rsid w:val="00F70F34"/>
    <w:rsid w:val="00F854EB"/>
    <w:rsid w:val="00F978DC"/>
    <w:rsid w:val="00FB7290"/>
    <w:rsid w:val="00FB7F59"/>
    <w:rsid w:val="00FE0476"/>
    <w:rsid w:val="00FE3D75"/>
    <w:rsid w:val="018A452A"/>
    <w:rsid w:val="04A064FB"/>
    <w:rsid w:val="09BF0B6D"/>
    <w:rsid w:val="0BAE4039"/>
    <w:rsid w:val="0E6E718F"/>
    <w:rsid w:val="10855BDB"/>
    <w:rsid w:val="14D760A7"/>
    <w:rsid w:val="1F3817C9"/>
    <w:rsid w:val="22053DCE"/>
    <w:rsid w:val="25D04F8F"/>
    <w:rsid w:val="28184FE6"/>
    <w:rsid w:val="2C0E105D"/>
    <w:rsid w:val="2E1E3111"/>
    <w:rsid w:val="32743B13"/>
    <w:rsid w:val="385B5EDB"/>
    <w:rsid w:val="3ABC11AA"/>
    <w:rsid w:val="442B4188"/>
    <w:rsid w:val="47723562"/>
    <w:rsid w:val="47B265AF"/>
    <w:rsid w:val="514230C5"/>
    <w:rsid w:val="52712648"/>
    <w:rsid w:val="54D05CE7"/>
    <w:rsid w:val="5E3E6996"/>
    <w:rsid w:val="62250E14"/>
    <w:rsid w:val="694E21FD"/>
    <w:rsid w:val="6E5001B0"/>
    <w:rsid w:val="76482AC4"/>
    <w:rsid w:val="7D3D7C06"/>
    <w:rsid w:val="7EFE7D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uiPriority w:val="99"/>
    <w:rPr>
      <w:rFonts w:ascii="宋体" w:eastAsia="宋体"/>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List Paragraph"/>
    <w:basedOn w:val="1"/>
    <w:qFormat/>
    <w:uiPriority w:val="34"/>
    <w:pPr>
      <w:ind w:firstLine="420" w:firstLineChars="200"/>
    </w:pPr>
  </w:style>
  <w:style w:type="character" w:customStyle="1" w:styleId="9">
    <w:name w:val="页脚 字符"/>
    <w:basedOn w:val="7"/>
    <w:link w:val="3"/>
    <w:uiPriority w:val="99"/>
    <w:rPr>
      <w:sz w:val="18"/>
      <w:szCs w:val="18"/>
    </w:rPr>
  </w:style>
  <w:style w:type="character" w:customStyle="1" w:styleId="10">
    <w:name w:val="页眉 字符"/>
    <w:basedOn w:val="7"/>
    <w:link w:val="4"/>
    <w:qFormat/>
    <w:uiPriority w:val="99"/>
    <w:rPr>
      <w:sz w:val="18"/>
      <w:szCs w:val="18"/>
    </w:rPr>
  </w:style>
  <w:style w:type="character" w:customStyle="1" w:styleId="11">
    <w:name w:val="批注框文本 字符"/>
    <w:basedOn w:val="7"/>
    <w:link w:val="2"/>
    <w:semiHidden/>
    <w:uiPriority w:val="99"/>
    <w:rPr>
      <w:rFonts w:ascii="宋体" w:eastAsia="宋体"/>
      <w:sz w:val="18"/>
      <w:szCs w:val="18"/>
    </w:rPr>
  </w:style>
  <w:style w:type="paragraph" w:customStyle="1" w:styleId="12">
    <w:name w:val="修订1"/>
    <w:hidden/>
    <w:unhideWhenUsed/>
    <w:uiPriority w:val="99"/>
    <w:rPr>
      <w:rFonts w:asciiTheme="minorHAnsi" w:hAnsiTheme="minorHAnsi" w:eastAsiaTheme="minorEastAsia" w:cstheme="minorBidi"/>
      <w:kern w:val="2"/>
      <w:sz w:val="21"/>
      <w:szCs w:val="22"/>
      <w:lang w:val="en-US" w:eastAsia="zh-CN" w:bidi="ar-SA"/>
    </w:rPr>
  </w:style>
  <w:style w:type="paragraph" w:customStyle="1" w:styleId="13">
    <w:name w:val="Revision"/>
    <w:hidden/>
    <w:unhideWhenUsed/>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629AD-0AB8-4419-A172-EA12CB6A172B}">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Pages>
  <Words>310</Words>
  <Characters>1769</Characters>
  <Lines>14</Lines>
  <Paragraphs>4</Paragraphs>
  <TotalTime>375</TotalTime>
  <ScaleCrop>false</ScaleCrop>
  <LinksUpToDate>false</LinksUpToDate>
  <CharactersWithSpaces>2075</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2025-03-27T01:26:00Z</dcterms:created>
  <dc:creator>szjt</dc:creator>
  <cp:lastModifiedBy>姚颖</cp:lastModifiedBy>
  <cp:lastPrinted>2025-03-27T00:58:00Z</cp:lastPrinted>
  <dcterms:modified xsi:type="dcterms:W3CDTF">2025-04-02T05:08:46Z</dcterms:modified>
  <cp:revision>107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C2C6E6DAA0304E95AC477B2B7B83F8AF_12</vt:lpwstr>
  </property>
</Properties>
</file>