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B2" w:rsidRDefault="00030DB2" w:rsidP="00030DB2">
      <w:pPr>
        <w:overflowPunct w:val="0"/>
        <w:adjustRightInd w:val="0"/>
        <w:snapToGrid w:val="0"/>
        <w:spacing w:line="560" w:lineRule="exact"/>
        <w:rPr>
          <w:rFonts w:eastAsia="黑体" w:hAnsi="黑体" w:hint="eastAsia"/>
          <w:spacing w:val="-4"/>
          <w:szCs w:val="32"/>
        </w:rPr>
      </w:pPr>
      <w:r>
        <w:rPr>
          <w:rFonts w:eastAsia="黑体" w:hAnsi="黑体" w:hint="eastAsia"/>
          <w:spacing w:val="-4"/>
          <w:szCs w:val="32"/>
        </w:rPr>
        <w:t>附件</w:t>
      </w:r>
      <w:r>
        <w:rPr>
          <w:rFonts w:eastAsia="黑体" w:hAnsi="黑体" w:hint="eastAsia"/>
          <w:spacing w:val="-4"/>
          <w:szCs w:val="32"/>
        </w:rPr>
        <w:t>4</w:t>
      </w: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2126"/>
        <w:gridCol w:w="2694"/>
        <w:gridCol w:w="6613"/>
        <w:gridCol w:w="1870"/>
      </w:tblGrid>
      <w:tr w:rsidR="00030DB2" w:rsidTr="00644638">
        <w:trPr>
          <w:trHeight w:val="22"/>
        </w:trPr>
        <w:tc>
          <w:tcPr>
            <w:tcW w:w="140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0DB2" w:rsidRDefault="00030DB2" w:rsidP="00644638">
            <w:pPr>
              <w:jc w:val="center"/>
              <w:rPr>
                <w:rFonts w:ascii="宋体" w:hAnsi="宋体"/>
                <w:spacing w:val="-2"/>
                <w:kern w:val="0"/>
                <w:szCs w:val="32"/>
              </w:rPr>
            </w:pPr>
            <w:r>
              <w:rPr>
                <w:rFonts w:ascii="方正小标宋_GBK" w:eastAsia="方正小标宋_GBK" w:hAnsi="宋体" w:hint="eastAsia"/>
                <w:spacing w:val="-2"/>
                <w:kern w:val="0"/>
                <w:sz w:val="44"/>
                <w:szCs w:val="44"/>
              </w:rPr>
              <w:t>不予实施行政强制措施清单（1项）</w:t>
            </w:r>
          </w:p>
          <w:p w:rsidR="00030DB2" w:rsidRDefault="00030DB2" w:rsidP="00644638">
            <w:pPr>
              <w:overflowPunct w:val="0"/>
              <w:adjustRightInd w:val="0"/>
              <w:snapToGrid w:val="0"/>
              <w:rPr>
                <w:rFonts w:eastAsia="方正小标宋_GBK" w:hint="eastAsia"/>
                <w:b/>
                <w:spacing w:val="-2"/>
                <w:szCs w:val="32"/>
              </w:rPr>
            </w:pPr>
            <w:r>
              <w:rPr>
                <w:rFonts w:eastAsia="楷体_GB2312"/>
                <w:spacing w:val="-2"/>
                <w:kern w:val="0"/>
                <w:sz w:val="28"/>
                <w:szCs w:val="28"/>
              </w:rPr>
              <w:t>单位：</w:t>
            </w:r>
            <w:r>
              <w:rPr>
                <w:rFonts w:eastAsia="楷体_GB2312" w:hint="eastAsia"/>
                <w:spacing w:val="-2"/>
                <w:kern w:val="0"/>
                <w:sz w:val="28"/>
                <w:szCs w:val="28"/>
              </w:rPr>
              <w:t>苏州市</w:t>
            </w:r>
            <w:r>
              <w:rPr>
                <w:rFonts w:eastAsia="楷体_GB2312"/>
                <w:spacing w:val="-2"/>
                <w:kern w:val="0"/>
                <w:sz w:val="28"/>
                <w:szCs w:val="28"/>
              </w:rPr>
              <w:t>交通</w:t>
            </w:r>
            <w:r>
              <w:rPr>
                <w:rFonts w:eastAsia="楷体_GB2312" w:hint="eastAsia"/>
                <w:spacing w:val="-2"/>
                <w:kern w:val="0"/>
                <w:sz w:val="28"/>
                <w:szCs w:val="28"/>
              </w:rPr>
              <w:t>运输局</w:t>
            </w:r>
          </w:p>
        </w:tc>
      </w:tr>
      <w:tr w:rsidR="00030DB2" w:rsidTr="00644638">
        <w:trPr>
          <w:trHeight w:val="474"/>
        </w:trPr>
        <w:tc>
          <w:tcPr>
            <w:tcW w:w="724" w:type="dxa"/>
            <w:vAlign w:val="center"/>
          </w:tcPr>
          <w:p w:rsidR="00030DB2" w:rsidRDefault="00030DB2" w:rsidP="00644638">
            <w:pPr>
              <w:overflowPunct w:val="0"/>
              <w:adjustRightInd w:val="0"/>
              <w:snapToGrid w:val="0"/>
              <w:jc w:val="center"/>
              <w:rPr>
                <w:rFonts w:eastAsia="黑体"/>
                <w:b/>
                <w:spacing w:val="-4"/>
                <w:sz w:val="24"/>
              </w:rPr>
            </w:pPr>
            <w:r>
              <w:rPr>
                <w:rFonts w:eastAsia="黑体"/>
                <w:b/>
                <w:spacing w:val="-4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030DB2" w:rsidRDefault="00030DB2" w:rsidP="00644638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/>
                <w:spacing w:val="-4"/>
                <w:sz w:val="24"/>
              </w:rPr>
            </w:pPr>
            <w:r>
              <w:rPr>
                <w:rFonts w:eastAsia="黑体" w:hint="eastAsia"/>
                <w:b/>
                <w:spacing w:val="-4"/>
                <w:sz w:val="24"/>
              </w:rPr>
              <w:t>行政强制措施</w:t>
            </w:r>
          </w:p>
        </w:tc>
        <w:tc>
          <w:tcPr>
            <w:tcW w:w="2694" w:type="dxa"/>
            <w:vAlign w:val="center"/>
          </w:tcPr>
          <w:p w:rsidR="00030DB2" w:rsidRDefault="00030DB2" w:rsidP="00644638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/>
                <w:spacing w:val="-4"/>
                <w:sz w:val="24"/>
              </w:rPr>
            </w:pPr>
            <w:r>
              <w:rPr>
                <w:rFonts w:eastAsia="黑体" w:hint="eastAsia"/>
                <w:b/>
                <w:spacing w:val="-4"/>
                <w:sz w:val="24"/>
              </w:rPr>
              <w:t>不予强制条件</w:t>
            </w:r>
          </w:p>
        </w:tc>
        <w:tc>
          <w:tcPr>
            <w:tcW w:w="6613" w:type="dxa"/>
            <w:vAlign w:val="center"/>
          </w:tcPr>
          <w:p w:rsidR="00030DB2" w:rsidRDefault="00030DB2" w:rsidP="00644638">
            <w:pPr>
              <w:overflowPunct w:val="0"/>
              <w:adjustRightInd w:val="0"/>
              <w:snapToGrid w:val="0"/>
              <w:jc w:val="center"/>
              <w:rPr>
                <w:rFonts w:eastAsia="黑体"/>
                <w:b/>
                <w:spacing w:val="-4"/>
                <w:sz w:val="24"/>
              </w:rPr>
            </w:pPr>
            <w:r>
              <w:rPr>
                <w:rFonts w:eastAsia="黑体"/>
                <w:b/>
                <w:spacing w:val="-4"/>
                <w:sz w:val="24"/>
              </w:rPr>
              <w:t>法</w:t>
            </w:r>
            <w:r>
              <w:rPr>
                <w:rFonts w:eastAsia="黑体"/>
                <w:b/>
                <w:spacing w:val="-4"/>
                <w:sz w:val="24"/>
              </w:rPr>
              <w:t xml:space="preserve"> </w:t>
            </w:r>
            <w:r>
              <w:rPr>
                <w:rFonts w:eastAsia="黑体"/>
                <w:b/>
                <w:spacing w:val="-4"/>
                <w:sz w:val="24"/>
              </w:rPr>
              <w:t>律</w:t>
            </w:r>
            <w:r>
              <w:rPr>
                <w:rFonts w:eastAsia="黑体"/>
                <w:b/>
                <w:spacing w:val="-4"/>
                <w:sz w:val="24"/>
              </w:rPr>
              <w:t xml:space="preserve"> </w:t>
            </w:r>
            <w:r>
              <w:rPr>
                <w:rFonts w:eastAsia="黑体"/>
                <w:b/>
                <w:spacing w:val="-4"/>
                <w:sz w:val="24"/>
              </w:rPr>
              <w:t>依</w:t>
            </w:r>
            <w:r>
              <w:rPr>
                <w:rFonts w:eastAsia="黑体"/>
                <w:b/>
                <w:spacing w:val="-4"/>
                <w:sz w:val="24"/>
              </w:rPr>
              <w:t xml:space="preserve"> </w:t>
            </w:r>
            <w:r>
              <w:rPr>
                <w:rFonts w:eastAsia="黑体"/>
                <w:b/>
                <w:spacing w:val="-4"/>
                <w:sz w:val="24"/>
              </w:rPr>
              <w:t>据</w:t>
            </w:r>
          </w:p>
        </w:tc>
        <w:tc>
          <w:tcPr>
            <w:tcW w:w="1870" w:type="dxa"/>
            <w:vAlign w:val="center"/>
          </w:tcPr>
          <w:p w:rsidR="00030DB2" w:rsidRDefault="00030DB2" w:rsidP="00644638">
            <w:pPr>
              <w:overflowPunct w:val="0"/>
              <w:adjustRightInd w:val="0"/>
              <w:snapToGrid w:val="0"/>
              <w:jc w:val="center"/>
              <w:rPr>
                <w:rFonts w:eastAsia="黑体"/>
                <w:b/>
                <w:spacing w:val="-4"/>
                <w:sz w:val="24"/>
              </w:rPr>
            </w:pPr>
            <w:r>
              <w:rPr>
                <w:rFonts w:eastAsia="黑体"/>
                <w:b/>
                <w:spacing w:val="-4"/>
                <w:sz w:val="24"/>
              </w:rPr>
              <w:t>实施主体</w:t>
            </w:r>
          </w:p>
        </w:tc>
      </w:tr>
      <w:tr w:rsidR="00030DB2" w:rsidTr="00644638">
        <w:trPr>
          <w:trHeight w:val="5382"/>
        </w:trPr>
        <w:tc>
          <w:tcPr>
            <w:tcW w:w="724" w:type="dxa"/>
            <w:vAlign w:val="center"/>
          </w:tcPr>
          <w:p w:rsidR="00030DB2" w:rsidRDefault="00030DB2" w:rsidP="00644638">
            <w:pPr>
              <w:widowControl/>
              <w:jc w:val="center"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暂扣船舶、浮动设施</w:t>
            </w:r>
          </w:p>
        </w:tc>
        <w:tc>
          <w:tcPr>
            <w:tcW w:w="2694" w:type="dxa"/>
            <w:vAlign w:val="center"/>
          </w:tcPr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初次被发现；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/>
                <w:spacing w:val="-2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.违法行为情节显著轻微或者没有明显社会危害的；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3.采用非强制手段能够达到行政管理目的的。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4.按照要求积极改正违法</w:t>
            </w:r>
            <w:r>
              <w:rPr>
                <w:rFonts w:ascii="宋体" w:hAnsi="宋体"/>
                <w:spacing w:val="-2"/>
                <w:kern w:val="0"/>
                <w:sz w:val="21"/>
                <w:szCs w:val="21"/>
              </w:rPr>
              <w:t>行为</w:t>
            </w: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的。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（上述条件需同时满足）</w:t>
            </w:r>
          </w:p>
        </w:tc>
        <w:tc>
          <w:tcPr>
            <w:tcW w:w="6613" w:type="dxa"/>
            <w:vAlign w:val="center"/>
          </w:tcPr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《中华人民共和国内河交通安全管理条例》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 xml:space="preserve">  第六十四条 违反本条例的规定，船舶、浮动设施未持有合格的检验证书、登记证书或者船舶未持有必要的航行资料，擅自航行或者作业的，由海事管理机构责令停止航行或者作业；拒不停止的，暂扣船舶、浮动设施；情节严重的，予以没收。   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 xml:space="preserve">《江苏省内河交通管理条例》   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 xml:space="preserve">  第三十二条 船舶、排筏对交通安全、畅通造成严重危害的，地方海事管理机构可以采取卸载、拖出特定区域、解除动力、冲滩、破坏性打捞等必要措施紧急处置，并可以扣押无证船舶。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 xml:space="preserve">《行政强制法》第五条 </w:t>
            </w:r>
            <w:r>
              <w:rPr>
                <w:rFonts w:ascii="宋体" w:hAnsi="宋体"/>
                <w:spacing w:val="-2"/>
                <w:kern w:val="0"/>
                <w:sz w:val="21"/>
                <w:szCs w:val="21"/>
              </w:rPr>
              <w:t>行政强制的设定和实施，应当适当。采用非强制手段可以达到行政管理目的的，不得设定和实施行政强制。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>《行政强制法》第十六条第二款 违法行为情节显著轻微或者没有明显社会危害的，可以不采取行政强制措施。</w:t>
            </w:r>
          </w:p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2"/>
                <w:kern w:val="0"/>
                <w:sz w:val="21"/>
                <w:szCs w:val="21"/>
              </w:rPr>
              <w:t xml:space="preserve">《优化营商环境条例》第五十九条第一款 </w:t>
            </w:r>
            <w:r>
              <w:rPr>
                <w:rFonts w:ascii="宋体" w:hAnsi="宋体"/>
                <w:spacing w:val="-2"/>
                <w:kern w:val="0"/>
                <w:sz w:val="21"/>
                <w:szCs w:val="21"/>
              </w:rPr>
              <w:t>行政执法中应当推广运用说服教育、劝导示范、行政指导等非强制性手段，依法慎重实施行政强制。采用非强制性手段能够达到行政管理目的的，不得实施行政强制；违法行为情节轻微或者社会危害较小的，可以不实施行政强制；确需实施行政强制的，应当尽可能减少对市场主体正常生产经营活动的影响。</w:t>
            </w:r>
          </w:p>
        </w:tc>
        <w:tc>
          <w:tcPr>
            <w:tcW w:w="1870" w:type="dxa"/>
            <w:vAlign w:val="center"/>
          </w:tcPr>
          <w:p w:rsidR="00030DB2" w:rsidRDefault="00030DB2" w:rsidP="00644638">
            <w:pPr>
              <w:widowControl/>
              <w:textAlignment w:val="center"/>
              <w:rPr>
                <w:rFonts w:ascii="宋体" w:hAnsi="宋体"/>
                <w:spacing w:val="-2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4"/>
                <w:sz w:val="21"/>
                <w:szCs w:val="21"/>
              </w:rPr>
              <w:t>苏州市及各市（区）交通运输综合执法机构</w:t>
            </w:r>
          </w:p>
        </w:tc>
      </w:tr>
    </w:tbl>
    <w:p w:rsidR="00030DB2" w:rsidRDefault="00030DB2" w:rsidP="00030DB2">
      <w:pPr>
        <w:spacing w:line="600" w:lineRule="exact"/>
        <w:rPr>
          <w:rFonts w:ascii="方正黑体_GBK" w:eastAsia="方正黑体_GBK"/>
          <w:szCs w:val="32"/>
        </w:rPr>
      </w:pPr>
    </w:p>
    <w:p w:rsidR="00FA4695" w:rsidRPr="00030DB2" w:rsidRDefault="00FA4695"/>
    <w:sectPr w:rsidR="00FA4695" w:rsidRPr="00030DB2">
      <w:footerReference w:type="even" r:id="rId6"/>
      <w:footerReference w:type="default" r:id="rId7"/>
      <w:pgSz w:w="16838" w:h="11906" w:orient="landscape"/>
      <w:pgMar w:top="1474" w:right="1701" w:bottom="1474" w:left="1814" w:header="851" w:footer="1531" w:gutter="0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63" w:rsidRDefault="00A12763" w:rsidP="00030DB2">
      <w:r>
        <w:separator/>
      </w:r>
    </w:p>
  </w:endnote>
  <w:endnote w:type="continuationSeparator" w:id="1">
    <w:p w:rsidR="00A12763" w:rsidRDefault="00A12763" w:rsidP="0003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5C" w:rsidRDefault="00A1276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lang w:val="en-US" w:eastAsia="zh-CN"/>
      </w:rPr>
      <w:t>2</w:t>
    </w:r>
    <w:r>
      <w:rPr>
        <w:rStyle w:val="a6"/>
      </w:rPr>
      <w:fldChar w:fldCharType="end"/>
    </w:r>
  </w:p>
  <w:p w:rsidR="007A7E5C" w:rsidRDefault="00A127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E5C" w:rsidRDefault="00A12763">
    <w:pPr>
      <w:pStyle w:val="a4"/>
      <w:framePr w:wrap="around" w:vAnchor="text" w:hAnchor="margin" w:xAlign="outside" w:y="1"/>
      <w:rPr>
        <w:rStyle w:val="a6"/>
        <w:rFonts w:hint="eastAsia"/>
        <w:sz w:val="28"/>
      </w:rPr>
    </w:pPr>
    <w:r>
      <w:rPr>
        <w:rStyle w:val="a6"/>
        <w:rFonts w:hint="eastAsia"/>
        <w:color w:val="FFFFFF"/>
        <w:sz w:val="28"/>
      </w:rPr>
      <w:t>—</w:t>
    </w:r>
    <w:r>
      <w:rPr>
        <w:rStyle w:val="a6"/>
        <w:rFonts w:hint="eastAsia"/>
        <w:sz w:val="28"/>
      </w:rPr>
      <w:t>—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 w:rsidR="003819A5">
      <w:rPr>
        <w:rStyle w:val="a6"/>
        <w:rFonts w:ascii="宋体" w:hAnsi="宋体"/>
        <w:noProof/>
        <w:sz w:val="28"/>
      </w:rPr>
      <w:t>1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hint="eastAsia"/>
        <w:sz w:val="28"/>
      </w:rPr>
      <w:t>—</w:t>
    </w:r>
    <w:r>
      <w:rPr>
        <w:rStyle w:val="a6"/>
        <w:rFonts w:hint="eastAsia"/>
        <w:color w:val="FFFFFF"/>
        <w:sz w:val="28"/>
      </w:rPr>
      <w:t>—</w:t>
    </w:r>
    <w:r>
      <w:rPr>
        <w:rStyle w:val="a6"/>
        <w:rFonts w:hint="eastAsia"/>
        <w:sz w:val="28"/>
      </w:rPr>
      <w:t xml:space="preserve">   </w:t>
    </w:r>
  </w:p>
  <w:p w:rsidR="007A7E5C" w:rsidRDefault="00A1276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63" w:rsidRDefault="00A12763" w:rsidP="00030DB2">
      <w:r>
        <w:separator/>
      </w:r>
    </w:p>
  </w:footnote>
  <w:footnote w:type="continuationSeparator" w:id="1">
    <w:p w:rsidR="00A12763" w:rsidRDefault="00A12763" w:rsidP="00030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DB2"/>
    <w:rsid w:val="00030DB2"/>
    <w:rsid w:val="003819A5"/>
    <w:rsid w:val="0052712D"/>
    <w:rsid w:val="00A12763"/>
    <w:rsid w:val="00A218B9"/>
    <w:rsid w:val="00FA4695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0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DB2"/>
    <w:rPr>
      <w:sz w:val="18"/>
      <w:szCs w:val="18"/>
    </w:rPr>
  </w:style>
  <w:style w:type="character" w:customStyle="1" w:styleId="a5">
    <w:name w:val="页脚 字符"/>
    <w:uiPriority w:val="99"/>
    <w:rsid w:val="00030DB2"/>
    <w:rPr>
      <w:kern w:val="2"/>
      <w:sz w:val="18"/>
      <w:szCs w:val="18"/>
    </w:rPr>
  </w:style>
  <w:style w:type="character" w:styleId="a6">
    <w:name w:val="page number"/>
    <w:rsid w:val="0003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liubaosheng</dc:creator>
  <cp:keywords/>
  <dc:description/>
  <cp:lastModifiedBy>liubaosheng</cp:lastModifiedBy>
  <cp:revision>3</cp:revision>
  <dcterms:created xsi:type="dcterms:W3CDTF">2022-03-31T03:29:00Z</dcterms:created>
  <dcterms:modified xsi:type="dcterms:W3CDTF">2022-03-31T03:29:00Z</dcterms:modified>
</cp:coreProperties>
</file>